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200"/>
      </w:pPr>
      <w:r>
        <w:rPr>
          <w:b/>
          <w:bCs/>
          <w:color w:val="b08a1e"/>
          <w:spacing w:val="40"/>
          <w:sz w:val="30"/>
          <w:szCs w:val="30"/>
        </w:rPr>
        <w:t xml:space="preserve">INFRATRACK</w:t>
      </w:r>
    </w:p>
    <w:p>
      <w:pPr>
        <w:spacing w:after="200"/>
      </w:pPr>
      <w:r>
        <w:rPr>
          <w:b/>
          <w:bCs/>
          <w:color w:val="1e2a4a"/>
          <w:sz w:val="56"/>
          <w:szCs w:val="56"/>
        </w:rPr>
        <w:t xml:space="preserve">Speed-to-Power Site Screen</w:t>
      </w:r>
    </w:p>
    <w:p>
      <w:pPr>
        <w:spacing w:after="300"/>
      </w:pPr>
      <w:r>
        <w:rPr>
          <w:b/>
          <w:bCs/>
          <w:color w:val="1e2a4a"/>
          <w:sz w:val="36"/>
          <w:szCs w:val="36"/>
        </w:rPr>
        <w:t xml:space="preserve">Where can new data-center load connect fastest?</w:t>
      </w:r>
    </w:p>
    <w:p>
      <w:pPr>
        <w:spacing w:after="120"/>
      </w:pPr>
      <w:r>
        <w:rPr>
          <w:b/>
          <w:bCs/>
          <w:color w:val="b08a1e"/>
          <w:sz w:val="24"/>
          <w:szCs w:val="24"/>
        </w:rPr>
        <w:t xml:space="preserve">SAMPLE EDITION — Northern Virginia, Phoenix and Dublin, scored from live data</w:t>
      </w:r>
    </w:p>
    <w:p>
      <w:pPr>
        <w:spacing w:after="60"/>
      </w:pPr>
      <w:r>
        <w:rPr>
          <w:color w:val="475569"/>
          <w:sz w:val="20"/>
          <w:szCs w:val="20"/>
        </w:rPr>
        <w:t xml:space="preserve">Issued 2026-10-18 · scoring s2p-0.1.0 · inputs as of 2026-10-17</w:t>
      </w:r>
    </w:p>
    <w:p>
      <w:r>
        <w:rPr>
          <w:i/>
          <w:iCs/>
          <w:color w:val="64748b"/>
          <w:sz w:val="18"/>
          <w:szCs w:val="18"/>
        </w:rPr>
        <w:t xml:space="preserve">Comparative screening, not engineering due diligence. Confidential when issued to a named client.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e2a4a"/>
        </w:rPr>
        <w:t xml:space="preserve">1. The answer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4600"/>
        <w:gridCol w:w="1400"/>
        <w:gridCol w:w="1400"/>
        <w:gridCol w:w="1600"/>
      </w:tblGrid>
      <w:tr>
        <w:trPr>
          <w:tblHeader/>
        </w:trPr>
        <w:tc>
          <w:tcPr>
            <w:tcW w:type="dxa" w:w="46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Candidate</w:t>
            </w:r>
          </w:p>
        </w:tc>
        <w:tc>
          <w:tcPr>
            <w:tcW w:type="dxa" w:w="14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S2P</w:t>
            </w:r>
          </w:p>
        </w:tc>
        <w:tc>
          <w:tcPr>
            <w:tcW w:type="dxa" w:w="14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Tier</w:t>
            </w:r>
          </w:p>
        </w:tc>
        <w:tc>
          <w:tcPr>
            <w:tcW w:type="dxa" w:w="16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Binding constraint</w:t>
            </w:r>
          </w:p>
        </w:tc>
      </w:tr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Northern Virginia / PJM (Data Center Alley)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55/100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Moderate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No</w:t>
            </w:r>
          </w:p>
        </w:tc>
      </w:tr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Phoenix, Arizona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47/100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Moderate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No</w:t>
            </w:r>
          </w:p>
        </w:tc>
      </w:tr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Dublin, Ireland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39/100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Slow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Yes — interconnection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Northern Virginia / PJM (Data Center Alley): 55/100 (Moderate). Largest contribution: water, 24 of 55 points; weakest input: permitting at 0/100.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Phoenix, Arizona: 47/100 (Moderate). Largest contribution: grid, 15 of 47 points; weakest input: water at 5/100.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Dublin, Ireland: 39/100 (Slow). Interconnection scores 10/100, a binding constraint that caps the result at Slow — uncapped, the other inputs would score 71.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A client screen scores the regions or specific sites you are weighing, with the radius, weights and evidence agreed at scoping.</w:t>
      </w:r>
    </w:p>
    <w:p>
      <w:pPr>
        <w:pStyle w:val="Heading1"/>
        <w:spacing w:after="160" w:before="360"/>
      </w:pPr>
      <w:r>
        <w:rPr>
          <w:b/>
          <w:bCs/>
          <w:color w:val="1e2a4a"/>
        </w:rPr>
        <w:t xml:space="preserve">2. How the score works</w:t>
      </w:r>
    </w:p>
    <w:p>
      <w:pPr>
        <w:spacing w:after="140"/>
      </w:pPr>
      <w:r>
        <w:rPr>
          <w:sz w:val="22"/>
          <w:szCs w:val="22"/>
        </w:rPr>
        <w:t xml:space="preserve">S2P = 100 × (0.30·Water + 0.25·Permitting + 0.20·Grid + 0.15·Generation + 0.10·Interconnection), each component scored 0–100 within a 120 km radius of the candidate.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Water: share of nearby data centers in critically water-stressed basins (WRI Aqueduct 4.0) — the higher the share, the lower the score.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Permitting: documented community opposition cases nearby — moratoriums, lawsuits, zoning fights, permit denials; 25 or more scores zero.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Grid: national grid-quality composite from World Bank indicators.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Generation: operating capacity of all technologies nearby, log-scaled to a 20 GW reference.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Interconnection: an analyst judgement of how fast new load can actually connect, with its sources stated.</w:t>
      </w:r>
    </w:p>
    <w:p>
      <w:pPr>
        <w:spacing w:after="140"/>
      </w:pPr>
      <w:r>
        <w:rPr>
          <w:sz w:val="22"/>
          <w:szCs w:val="22"/>
        </w:rPr>
        <w:t xml:space="preserve">Binding constraints are treated as binding: when interconnection scores 15 or below, the result is capped at Slow, however strong the other inputs are. Measured inputs (water, opposition) carry more weight than modelled ones.</w:t>
      </w:r>
    </w:p>
    <w:p>
      <w:pPr>
        <w:pStyle w:val="Heading1"/>
        <w:spacing w:after="160" w:before="360"/>
      </w:pPr>
      <w:r>
        <w:rPr>
          <w:b/>
          <w:bCs/>
          <w:color w:val="1e2a4a"/>
        </w:rPr>
        <w:t xml:space="preserve">3. Candidate detail</w:t>
      </w:r>
    </w:p>
    <w:p>
      <w:pPr>
        <w:pStyle w:val="Heading2"/>
        <w:spacing w:after="120" w:before="260"/>
      </w:pPr>
      <w:r>
        <w:rPr>
          <w:b/>
          <w:bCs/>
          <w:color w:val="b08a1e"/>
        </w:rPr>
        <w:t xml:space="preserve">Northern Virginia / PJM (Data Center Alley) — 55/100 · Moderate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2000"/>
        <w:gridCol w:w="1100"/>
        <w:gridCol w:w="1300"/>
        <w:gridCol w:w="4600"/>
      </w:tblGrid>
      <w:tr>
        <w:trPr>
          <w:tblHeader/>
        </w:trPr>
        <w:tc>
          <w:tcPr>
            <w:tcW w:type="dxa" w:w="20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11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Score</w:t>
            </w:r>
          </w:p>
        </w:tc>
        <w:tc>
          <w:tcPr>
            <w:tcW w:type="dxa" w:w="13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Weighted</w:t>
            </w:r>
          </w:p>
        </w:tc>
        <w:tc>
          <w:tcPr>
            <w:tcW w:type="dxa" w:w="46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Evidence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Water (30%)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79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24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0% of 323 data centers within 120 km sit in critically water-stressed basins (WRI Aqueduct 4.0).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Permitting (25%)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35 documented opposition cases within 120 km (25 or more scores zero).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Grid (20%)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76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15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National grid-quality composite from World Bank indicators (access, losses, consumption, outages).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Generation (15%)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87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13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5.7 GW of operating capacity within 120 km (Global Energy Monitor), log-scaled to a 20 GW reference.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Interconnection (10%)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New large loads in Dominion's Virginia zone face a roughly seven-year wait for power, with only about 25 GW of a ~100 GW request queue holding energization dates. The squeeze dates to Dominion's July 2022 warning of transmission constraints in eastern Loudoun, and on 9 Oct 2026 FERC rejected PJM's proposed interim fast-track service for large loads.</w:t>
            </w:r>
          </w:p>
        </w:tc>
      </w:tr>
    </w:tbl>
    <w:p>
      <w:pPr>
        <w:spacing w:after="100"/>
      </w:pPr>
      <w:r>
        <w:rPr>
          <w:color w:val="64748b"/>
          <w:sz w:val="18"/>
          <w:szCs w:val="18"/>
        </w:rPr>
        <w:t xml:space="preserve">Interconnection sources: https://wydaily.com/latest/2026/10/16/virginia-lawmakers-propose-moratoriums-on-new-data-centers/ · https://datacenterfrontier.com/ashburn-power-crunch-may-cause-delays-in-data-center-construction/ · https://www.utilitydive.com/news/ferc-pjm-large-load-interconnection-iras-byonc/832716/</w:t>
      </w:r>
    </w:p>
    <w:p>
      <w:pPr>
        <w:spacing w:after="140"/>
      </w:pPr>
      <w:r>
        <w:rPr>
          <w:sz w:val="22"/>
          <w:szCs w:val="22"/>
        </w:rPr>
        <w:t xml:space="preserve">Opposition evidence — the 6 most recent of 35 cases inside the radius: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3300"/>
        <w:gridCol w:w="700"/>
        <w:gridCol w:w="1800"/>
        <w:gridCol w:w="3200"/>
      </w:tblGrid>
      <w:tr>
        <w:trPr>
          <w:tblHeader/>
        </w:trPr>
        <w:tc>
          <w:tcPr>
            <w:tcW w:type="dxa" w:w="33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Case</w:t>
            </w:r>
          </w:p>
        </w:tc>
        <w:tc>
          <w:tcPr>
            <w:tcW w:type="dxa" w:w="7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Year</w:t>
            </w:r>
          </w:p>
        </w:tc>
        <w:tc>
          <w:tcPr>
            <w:tcW w:type="dxa" w:w="18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32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Source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Loudoun County (Amazon/GW campus)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wtop.com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Dickerson (Montgomery County)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moratorium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bethesdamagazine.com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Montgomery County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zoning restriction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foodandwaterwatch.org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Prince William County (Hornbaker Road)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potomaclocal.com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Prince William County (Diamond Hill substation)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permit denial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princewilliamtimes.com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Frederick County (Referendum Effort)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wfmd.com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b08a1e"/>
        </w:rPr>
        <w:t xml:space="preserve">Phoenix, Arizona — 47/100 · Moderate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2000"/>
        <w:gridCol w:w="1100"/>
        <w:gridCol w:w="1300"/>
        <w:gridCol w:w="4600"/>
      </w:tblGrid>
      <w:tr>
        <w:trPr>
          <w:tblHeader/>
        </w:trPr>
        <w:tc>
          <w:tcPr>
            <w:tcW w:type="dxa" w:w="20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11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Score</w:t>
            </w:r>
          </w:p>
        </w:tc>
        <w:tc>
          <w:tcPr>
            <w:tcW w:type="dxa" w:w="13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Weighted</w:t>
            </w:r>
          </w:p>
        </w:tc>
        <w:tc>
          <w:tcPr>
            <w:tcW w:type="dxa" w:w="46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Evidence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Water (30%)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100% of 63 data centers within 120 km sit in critically water-stressed basins (WRI Aqueduct 4.0).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Permitting (25%)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56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14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11 documented opposition cases within 120 km (25 or more scores zero).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Grid (20%)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76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15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National grid-quality composite from World Bank indicators (access, losses, consumption, outages).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Generation (15%)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92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14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9.0 GW of operating capacity within 120 km (Global Energy Monitor), log-scaled to a 20 GW reference.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Interconnection (10%)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APS, the region's largest utility, has made no new data-center service commitments since 1 Jan 2024, citing grid and overnight-supply constraints, and lists a 19 GW uncommitted queue. SRP still accepts large loads, but through a study process (LCIP, introduced 2025) with upfront upgrade payments, and both utilities told the state regulator in April 2026 that demand exceeds their capacity to serve.</w:t>
            </w:r>
          </w:p>
        </w:tc>
      </w:tr>
    </w:tbl>
    <w:p>
      <w:pPr>
        <w:spacing w:after="100"/>
      </w:pPr>
      <w:r>
        <w:rPr>
          <w:color w:val="64748b"/>
          <w:sz w:val="18"/>
          <w:szCs w:val="18"/>
        </w:rPr>
        <w:t xml:space="preserve">Interconnection sources: https://www.kjzz.org/business/2026-09-02/aps-says-it-cant-commit-to-new-data-centers-because-of-electric-grid-constraints · https://www.aps.com/en/Utility/Company-wide-Events-and-Messages/Data_Centers_How_Were_Protecting_Customers_While_Planning-for_Big_Energy_Needs · https://www.azcc.gov/news/home/2026/04/20/acc-large-load-data-center-workshop-highlights</w:t>
      </w:r>
    </w:p>
    <w:p>
      <w:pPr>
        <w:spacing w:after="140"/>
      </w:pPr>
      <w:r>
        <w:rPr>
          <w:sz w:val="22"/>
          <w:szCs w:val="22"/>
        </w:rPr>
        <w:t xml:space="preserve">Opposition evidence — the 6 most recent of 11 cases inside the radius: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3300"/>
        <w:gridCol w:w="700"/>
        <w:gridCol w:w="1800"/>
        <w:gridCol w:w="3200"/>
      </w:tblGrid>
      <w:tr>
        <w:trPr>
          <w:tblHeader/>
        </w:trPr>
        <w:tc>
          <w:tcPr>
            <w:tcW w:type="dxa" w:w="33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Case</w:t>
            </w:r>
          </w:p>
        </w:tc>
        <w:tc>
          <w:tcPr>
            <w:tcW w:type="dxa" w:w="7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Year</w:t>
            </w:r>
          </w:p>
        </w:tc>
        <w:tc>
          <w:tcPr>
            <w:tcW w:type="dxa" w:w="18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32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Source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Ahwatukee (Phoenix)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azfamily.com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Pinal County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datacenterdynamics.com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Mesa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2025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zoning restriction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kjzz.org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City of Chandler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2025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permit denial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phoenixnewtimes.com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Surprise (Maricopa County)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2025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ktar.com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Maricopa County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2025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zoning restriction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kjzz.org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b08a1e"/>
        </w:rPr>
        <w:t xml:space="preserve">Dublin, Ireland — 39/100 · Slow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2000"/>
        <w:gridCol w:w="1100"/>
        <w:gridCol w:w="1300"/>
        <w:gridCol w:w="4600"/>
      </w:tblGrid>
      <w:tr>
        <w:trPr>
          <w:tblHeader/>
        </w:trPr>
        <w:tc>
          <w:tcPr>
            <w:tcW w:type="dxa" w:w="20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11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Score</w:t>
            </w:r>
          </w:p>
        </w:tc>
        <w:tc>
          <w:tcPr>
            <w:tcW w:type="dxa" w:w="13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Weighted</w:t>
            </w:r>
          </w:p>
        </w:tc>
        <w:tc>
          <w:tcPr>
            <w:tcW w:type="dxa" w:w="46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Evidence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Water (30%)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80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24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0% of 95 data centers within 120 km sit in critically water-stressed basins (WRI Aqueduct 4.0).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Permitting (25%)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80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 documented opposition cases within 120 km (25 or more scores zero).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Grid (20%)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71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14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National grid-quality composite from World Bank indicators (access, losses, consumption, outages).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Generation (15%)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77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12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2.0 GW of operating capacity within 120 km (Global Energy Monitor), log-scaled to a 20 GW reference.</w:t>
            </w:r>
          </w:p>
        </w:tc>
      </w:tr>
      <w:tr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Interconnection (10%)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Since the CRU's December 2025 decision (CRU/2025/236), new Irish data centres must bring their own dispatchable generation or storage matching their import capacity and source 80% of their demand from new Irish renewables. EirGrid's May 2026 constraint review treats greater Dublin as 'fully constrained' with no end date, because that bundled generation would worsen Dublin's short-circuit problem.</w:t>
            </w:r>
          </w:p>
        </w:tc>
      </w:tr>
    </w:tbl>
    <w:p>
      <w:pPr>
        <w:spacing w:after="100"/>
      </w:pPr>
      <w:r>
        <w:rPr>
          <w:color w:val="64748b"/>
          <w:sz w:val="18"/>
          <w:szCs w:val="18"/>
        </w:rPr>
        <w:t xml:space="preserve">Binding constraint: interconnection at 10/100 caps the score at Slow (39). Without the cap the weighted inputs total 71.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Interconnection sources: https://cruie-live-96ca64acab2247eca8a850a7e54b-5b34f62.divio-media.com/documents/CRU2025236_Large_Energy_User_connection_policy_decision_paper.pdf · https://cms.eirgrid.ie/sites/default/files/publications/Data-Centre-Constrained-Area-Overview-May-2026.pdf · https://www.mhc.ie/latest/insights/new-data-centre-connection-rules</w:t>
      </w:r>
    </w:p>
    <w:p>
      <w:pPr>
        <w:spacing w:after="140"/>
      </w:pPr>
      <w:r>
        <w:rPr>
          <w:sz w:val="22"/>
          <w:szCs w:val="22"/>
        </w:rPr>
        <w:t xml:space="preserve">Opposition evidence — the 5 most recent of 5 cases inside the radius: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3300"/>
        <w:gridCol w:w="700"/>
        <w:gridCol w:w="1800"/>
        <w:gridCol w:w="3200"/>
      </w:tblGrid>
      <w:tr>
        <w:trPr>
          <w:tblHeader/>
        </w:trPr>
        <w:tc>
          <w:tcPr>
            <w:tcW w:type="dxa" w:w="33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Case</w:t>
            </w:r>
          </w:p>
        </w:tc>
        <w:tc>
          <w:tcPr>
            <w:tcW w:type="dxa" w:w="7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Year</w:t>
            </w:r>
          </w:p>
        </w:tc>
        <w:tc>
          <w:tcPr>
            <w:tcW w:type="dxa" w:w="18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32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Source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Grange Castle, South Dublin — Google planning refused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2024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permit denial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datacenterdynamics.com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AWS Cruiserath Data Center Appeals (Dublin, Ireland)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2023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lawsuit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breakingnews.ie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Ireland Dublin Data Center Grid Connection Moratorium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2021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moratorium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pinsentmasons.com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Ireland Environmental Campaign Against Data Centers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2021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protest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raconteur.net</w:t>
            </w:r>
          </w:p>
        </w:tc>
      </w:tr>
      <w:tr>
        <w:tc>
          <w:tcPr>
            <w:tcW w:type="dxa" w:w="3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Ireland Emergency Gas Generator Deployment</w:t>
            </w:r>
          </w:p>
        </w:tc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other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techpolicy.press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1e2a4a"/>
        </w:rPr>
        <w:t xml:space="preserve">4. What would move the scores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Northern Virginia / PJM (Data Center Alley): Its weakest input is permitting at 0/100, which costs it 25 points against a perfect score — the first thing to test site by site.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Phoenix, Arizona: Its weakest input is water at 5/100, which costs it 29 points against a perfect score — the first thing to test site by site.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Dublin, Ireland: A firm path to grid connection is the only lever that matters — lifting interconnection above 15/100 removes the cap (uncapped inputs total 71).</w:t>
      </w:r>
    </w:p>
    <w:p>
      <w:pPr>
        <w:pStyle w:val="Heading1"/>
        <w:spacing w:after="160" w:before="360"/>
      </w:pPr>
      <w:r>
        <w:rPr>
          <w:b/>
          <w:bCs/>
          <w:color w:val="1e2a4a"/>
        </w:rPr>
        <w:t xml:space="preserve">5. Sources</w:t>
      </w:r>
    </w:p>
    <w:tbl>
      <w:tblPr>
        <w:tblW w:type="dxa" w:w="9000"/>
        <w:tblBorders>
          <w:top w:val="single" w:color="cbd5e1" w:sz="4"/>
          <w:left w:val="none"/>
          <w:bottom w:val="single" w:color="cbd5e1" w:sz="4"/>
          <w:right w:val="none"/>
          <w:insideH w:val="single" w:color="e2e8f0" w:sz="2"/>
          <w:insideV w:val="none"/>
        </w:tblBorders>
      </w:tblPr>
      <w:tblGrid>
        <w:gridCol w:w="4200"/>
        <w:gridCol w:w="2800"/>
        <w:gridCol w:w="2000"/>
      </w:tblGrid>
      <w:tr>
        <w:trPr>
          <w:tblHeader/>
        </w:trPr>
        <w:tc>
          <w:tcPr>
            <w:tcW w:type="dxa" w:w="42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Source</w:t>
            </w:r>
          </w:p>
        </w:tc>
        <w:tc>
          <w:tcPr>
            <w:tcW w:type="dxa" w:w="28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Release / snapshot</w:t>
            </w:r>
          </w:p>
        </w:tc>
        <w:tc>
          <w:tcPr>
            <w:tcW w:type="dxa" w:w="2000"/>
            <w:shd w:fill="1e2a4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License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Global Energy Monitor — Global Nuclear Power Tracker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September 2025 release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Global Energy Monitor — Global Solar Power Tracker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February 2026 release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Global Energy Monitor — Global Wind Power Tracker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February 2026 release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Global Energy Monitor — Global Hydropower Tracker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April 2025 release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Global Energy Monitor — Global Geothermal Power Tracker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March 2026 release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OpenStreetMap (Overpass) — data centers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March 2026 snapshot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ODbL 1.0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WRI Aqueduct 4.0 — baseline water stress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2023 release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World Bank Open Data — grid indicators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2018–2023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Data Center Watch — US opposition cases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March 2026; links checked Oct 2026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CC BY 4.0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InfraTrack research — international opposition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Sources checked Oct 2026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Own compilation</w:t>
            </w:r>
          </w:p>
        </w:tc>
      </w:tr>
    </w:tbl>
    <w:p>
      <w:pPr>
        <w:spacing w:after="100"/>
      </w:pPr>
      <w:r>
        <w:rPr>
          <w:color w:val="64748b"/>
          <w:sz w:val="18"/>
          <w:szCs w:val="18"/>
        </w:rPr>
        <w:t xml:space="preserve">Data: Global Energy Monitor (CC BY 4.0) · © OpenStreetMap contributors (ODbL) · Water risk: WRI Aqueduct 4.0 (CC BY 4.0) · Grid indicators: World Bank Open Data (CC BY 4.0) · US opposition cases: datacenterfights.org (CC BY 4.0)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Methodology: infratrack.energy/methodology · Change log: infratrack.energy/changes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InfraTrack — Speed-to-Power Site Screen (SAMPLE) · 2026-10-18 · page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2026-10-18T16:31:32.117Z</dcterms:created>
  <dcterms:modified xsi:type="dcterms:W3CDTF">2026-10-18T16:31:32.117Z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