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200"/>
      </w:pPr>
      <w:r>
        <w:rPr>
          <w:b/>
          <w:bCs/>
          <w:color w:val="b08a1e"/>
          <w:spacing w:val="40"/>
          <w:sz w:val="30"/>
          <w:szCs w:val="30"/>
        </w:rPr>
        <w:t xml:space="preserve">INFRATRACK</w:t>
      </w:r>
    </w:p>
    <w:p>
      <w:pPr>
        <w:spacing w:after="200"/>
      </w:pPr>
      <w:r>
        <w:rPr>
          <w:b/>
          <w:bCs/>
          <w:color w:val="1e2a4a"/>
          <w:sz w:val="56"/>
          <w:szCs w:val="56"/>
        </w:rPr>
        <w:t xml:space="preserve">Eastern Mediterranean</w:t>
      </w:r>
    </w:p>
    <w:p>
      <w:pPr>
        <w:spacing w:after="300"/>
      </w:pPr>
      <w:r>
        <w:rPr>
          <w:b/>
          <w:bCs/>
          <w:color w:val="1e2a4a"/>
          <w:sz w:val="40"/>
          <w:szCs w:val="40"/>
        </w:rPr>
        <w:t xml:space="preserve">Infrastructure &amp; Energy Corridor Brief</w:t>
      </w:r>
    </w:p>
    <w:p>
      <w:pPr>
        <w:spacing w:after="120"/>
      </w:pPr>
      <w:r>
        <w:rPr>
          <w:b/>
          <w:bCs/>
          <w:color w:val="b08a1e"/>
          <w:sz w:val="24"/>
          <w:szCs w:val="24"/>
        </w:rPr>
        <w:t xml:space="preserve">SAMPLE EDITION — structure and live data, issued for evaluation</w:t>
      </w:r>
    </w:p>
    <w:p>
      <w:pPr>
        <w:spacing w:after="60"/>
      </w:pPr>
      <w:r>
        <w:rPr>
          <w:color w:val="475569"/>
          <w:sz w:val="20"/>
          <w:szCs w:val="20"/>
        </w:rPr>
        <w:t xml:space="preserve">Issued 2026-09-02 · curated statuses re-verified at issuance · scoring s2p-0.1.0</w:t>
      </w:r>
    </w:p>
    <w:p>
      <w:pPr>
        <w:spacing w:after="0"/>
      </w:pPr>
      <w:r>
        <w:rPr>
          <w:i/>
          <w:iCs/>
          <w:color w:val="64748b"/>
          <w:sz w:val="18"/>
          <w:szCs w:val="18"/>
        </w:rPr>
        <w:t xml:space="preserve">Confidential when issued to a named client. Not investment advice.</w:t>
      </w:r>
    </w:p>
    <w:p>
      <w:r>
        <w:br w:type="page"/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1. Executive summary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East-Med electricity bridge became investable this month: France's Meridiam took majority ownership of the Great Sea Interconnector (Aug 2026), with Nexans contracted to accelerate seabed surveys — while Türkiye's maritime objections keep completion beyond 2029–30.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Egypt is positioning as Europe's next power supplier: GREGY (3 GW to Greece) holds EU seabed-mapping funds and targets FID in H2 2026, backed by €690m of Egyptian grid upgrades.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corridor's logistics spine remains stressed: the July 2026 Red Sea blockade cut Bab el-Mandeb transits ~25%; Suez volumes have stabilized but stay subdued, repricing every East-Med port and LNG assumption.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Asset base at a glance: 24 major ports, 30 LNG terminals, 53.2 GW operating generation, and 4 electricity interconnectors (6,000 MW built or planned) inside the corridor window.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Net read: infrastructure momentum is real and increasingly French/EU-underwritten, but every corridor thesis must price two persistent frictions — Türkiye-adjacent maritime risk and Red Sea flow instability.</w:t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2. The corridor at a glance</w:t>
      </w:r>
    </w:p>
    <w:p>
      <w:pPr>
        <w:spacing w:after="140"/>
      </w:pPr>
      <w:r>
        <w:rPr>
          <w:sz w:val="22"/>
          <w:szCs w:val="22"/>
        </w:rPr>
        <w:t xml:space="preserve">Scope: Greece–Cyprus–Egypt–Levant window (19–36°E, 30–41.5°N), from InfraTrack’s live asset layers.</w:t>
      </w:r>
    </w:p>
    <w:tbl>
      <w:tblPr>
        <w:tblW w:type="dxa" w:w="9000"/>
        <w:tblBorders>
          <w:top w:val="single" w:color="cbd5e1" w:sz="4"/>
          <w:left w:val="none"/>
          <w:bottom w:val="single" w:color="cbd5e1" w:sz="4"/>
          <w:right w:val="none"/>
          <w:insideH w:val="single" w:color="e2e8f0" w:sz="2"/>
          <w:insideV w:val="none"/>
        </w:tblBorders>
      </w:tblPr>
      <w:tblGrid>
        <w:gridCol w:w="4200"/>
        <w:gridCol w:w="4800"/>
      </w:tblGrid>
      <w:tr>
        <w:trPr>
          <w:tblHeader/>
        </w:trPr>
        <w:tc>
          <w:tcPr>
            <w:tcW w:type="dxa" w:w="42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Indicator</w:t>
            </w:r>
          </w:p>
        </w:tc>
        <w:tc>
          <w:tcPr>
            <w:tcW w:type="dxa" w:w="48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Major ports (large + medium, World Port Index)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LNG terminals (all statuses, GEM)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Electricity interconnectors (built + planned)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 — 6,000 MW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Maritime chokepoints tracked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Operating generation capacity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53.2 GW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Subsea sabotage incidents inside window</w:t>
            </w:r>
          </w:p>
        </w:tc>
        <w:tc>
          <w:tcPr>
            <w:tcW w:type="dxa" w:w="4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0</w:t>
            </w:r>
          </w:p>
        </w:tc>
      </w:tr>
    </w:tbl>
    <w:p>
      <w:pPr>
        <w:spacing w:after="40" w:before="120"/>
        <w:jc w:val="center"/>
      </w:pPr>
      <w:r>
        <w:drawing>
          <wp:inline distT="0" distB="0" distL="0" distR="0">
            <wp:extent cx="5334000" cy="4743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64748b"/>
          <w:sz w:val="17"/>
          <w:szCs w:val="17"/>
        </w:rPr>
        <w:t xml:space="preserve">Figure 1 — Corridor infrastructure overview, rendered from InfraTrack live data</w:t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3. The electricity bridge</w:t>
      </w:r>
    </w:p>
    <w:p>
      <w:pPr>
        <w:spacing w:after="140"/>
      </w:pPr>
      <w:r>
        <w:rPr>
          <w:sz w:val="22"/>
          <w:szCs w:val="22"/>
        </w:rPr>
        <w:t xml:space="preserve">Four subsea HVDC projects define the corridor’s power story — one operating, one under construction, two competing for the Egypt export lane:</w:t>
      </w:r>
    </w:p>
    <w:tbl>
      <w:tblPr>
        <w:tblW w:type="dxa" w:w="9000"/>
        <w:tblBorders>
          <w:top w:val="single" w:color="cbd5e1" w:sz="4"/>
          <w:left w:val="none"/>
          <w:bottom w:val="single" w:color="cbd5e1" w:sz="4"/>
          <w:right w:val="none"/>
          <w:insideH w:val="single" w:color="e2e8f0" w:sz="2"/>
          <w:insideV w:val="none"/>
        </w:tblBorders>
      </w:tblPr>
      <w:tblGrid>
        <w:gridCol w:w="2600"/>
        <w:gridCol w:w="1700"/>
        <w:gridCol w:w="1300"/>
        <w:gridCol w:w="3400"/>
      </w:tblGrid>
      <w:tr>
        <w:trPr>
          <w:tblHeader/>
        </w:trPr>
        <w:tc>
          <w:tcPr>
            <w:tcW w:type="dxa" w:w="26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Link</w:t>
            </w:r>
          </w:p>
        </w:tc>
        <w:tc>
          <w:tcPr>
            <w:tcW w:type="dxa" w:w="17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Route</w:t>
            </w:r>
          </w:p>
        </w:tc>
        <w:tc>
          <w:tcPr>
            <w:tcW w:type="dxa" w:w="13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34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Latest development</w:t>
            </w:r>
          </w:p>
        </w:tc>
      </w:tr>
      <w:tr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Great Sea Interconnector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Greece–Cyprus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Under construction · 1,000 MW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HVDC subsea link (898 km, deepest-laid power cable planned, €1.9bn, €657m EU CEF) connecting Crete to Cyprus, ending Cyprus’s status as the last non-interconnected EU member grid; phase 2 aims at Israel. Aug 2026: France’s Meridiam became majority shareholder of the project company (ADMIE retains a strategic role) and Nexans was signed to accelerate seabed surveys — but Türkiye’s maritime objections and financing friction have pushed completion beyond the 2029–30 target.</w:t>
            </w:r>
          </w:p>
        </w:tc>
      </w:tr>
      <w:tr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Crete–Attica Interconnection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Greece (mainland–Crete)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Operating · 1,000 MW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HVDC link between Attica and Crete, commissioned 2024 — the proving segment for the wider Greece–Cyprus corridor and the backbone that lets Crete absorb mainland renewables.</w:t>
            </w:r>
          </w:p>
        </w:tc>
      </w:tr>
      <w:tr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GREGY Interconnector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Egypt–Greece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Planned · 3,000 MW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Proposed ~950 km, 3,000 MW subsea HVDC link (ELICA/Copelouzos with ADMIE and Egypt’s EETC) exporting Egyptian renewables to Greece and the EU market. Momentum through 2026: €9.6m EU CEF seabed-mapping funds (Jan), route/cost study tenders under evaluation, FID targeted H2 2026, operation early 2030s; Egypt is laying grid-upgrade groundwork (€690m) for exports.</w:t>
            </w:r>
          </w:p>
        </w:tc>
      </w:tr>
      <w:tr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EuroAfrica Interconnector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Egypt–Cyprus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Planned · 1,000 MW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Proposed HVDC link between the Egyptian grid and Cyprus (2 GW planned, ~1,400 km full route), complementary/competing with the Great Sea corridor southward leg. Still in planning as of Aug 2026: first-stage completion pushed from 2023 to ~2029, with renewed feasibility work after Egypt’s currency crisis.</w:t>
            </w:r>
          </w:p>
        </w:tc>
      </w:tr>
    </w:tbl>
    <w:p>
      <w:pPr>
        <w:spacing w:after="100"/>
      </w:pPr>
      <w:r>
        <w:rPr>
          <w:color w:val="64748b"/>
          <w:sz w:val="18"/>
          <w:szCs w:val="18"/>
        </w:rPr>
        <w:t xml:space="preserve">Statuses verified against live reporting on 2026-09-02. Per-project sources in the appendix.</w:t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4. Chokepoints &amp; flow risk</w:t>
      </w:r>
    </w:p>
    <w:p>
      <w:pPr>
        <w:pStyle w:val="Heading2"/>
        <w:spacing w:after="120" w:before="260"/>
      </w:pPr>
      <w:r>
        <w:rPr>
          <w:b/>
          <w:bCs/>
          <w:color w:val="b08a1e"/>
        </w:rPr>
        <w:t xml:space="preserve">Suez Canal</w:t>
      </w:r>
    </w:p>
    <w:p>
      <w:pPr>
        <w:spacing w:after="140"/>
      </w:pPr>
      <w:r>
        <w:rPr>
          <w:sz w:val="22"/>
          <w:szCs w:val="22"/>
        </w:rPr>
        <w:t xml:space="preserve">The corridor’s defining maritime chokepoint: ~12–15% of global trade and a major share of Europe-bound LNG and container traffic. Red Sea security shocks (2023–) rerouted volumes around the Cape; a renewed Houthi blockade against Saudi-linked shipping in July 2026 cut Bab el-Mandeb transits ~25% — canal traffic has stabilized but remains subdued, with VLCCs lightening loads and the Sumed pipeline absorbing flows.</w:t>
      </w:r>
    </w:p>
    <w:p>
      <w:pPr>
        <w:pStyle w:val="Heading2"/>
        <w:spacing w:after="120" w:before="260"/>
      </w:pPr>
      <w:r>
        <w:rPr>
          <w:b/>
          <w:bCs/>
          <w:color w:val="b08a1e"/>
        </w:rPr>
        <w:t xml:space="preserve">Turkish Straits (Bosporus &amp; Dardanelles)</w:t>
      </w:r>
    </w:p>
    <w:p>
      <w:pPr>
        <w:spacing w:after="140"/>
      </w:pPr>
      <w:r>
        <w:rPr>
          <w:sz w:val="22"/>
          <w:szCs w:val="22"/>
        </w:rPr>
        <w:t xml:space="preserve">Black Sea grain, crude and product flows compress through two narrow straits governed by the Montreux Convention — the corridor’s northern valve and a standing geopolitical pressure point.</w:t>
      </w:r>
    </w:p>
    <w:p>
      <w:pPr>
        <w:spacing w:after="40" w:before="120"/>
        <w:jc w:val="center"/>
      </w:pPr>
      <w:r>
        <w:drawing>
          <wp:inline distT="0" distB="0" distL="0" distR="0">
            <wp:extent cx="4191000" cy="565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64748b"/>
          <w:sz w:val="17"/>
          <w:szCs w:val="17"/>
        </w:rPr>
        <w:t xml:space="preserve">Figure 2 — Chokepoints and the electricity bridge</w:t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5. What to watch — next two quarters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Great Sea Interconnector under Meridiam: survey completion pace and whether the Cyprus–Israel leg re-enters scope.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GREGY final investment decision (targeted H2 2026) — the corridor’s biggest single go/no-go signal.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EuroAfrica financing: whether Egypt’s macro stabilization revives the Cyprus leg or GREGY absorbs the lane.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Red Sea blockade trajectory: Bab el-Mandeb transit counts and Suez draught-restriction workarounds (VLCC lightening, Sumed flows).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[Client-specific watch items are added here on issuance.]</w:t>
      </w:r>
    </w:p>
    <w:p>
      <w:pPr>
        <w:pStyle w:val="Heading1"/>
        <w:spacing w:after="160" w:before="360"/>
      </w:pPr>
      <w:r>
        <w:rPr>
          <w:b/>
          <w:bCs/>
          <w:color w:val="1e2a4a"/>
        </w:rPr>
        <w:t xml:space="preserve">6. Methodology &amp; sources</w:t>
      </w:r>
    </w:p>
    <w:p>
      <w:pPr>
        <w:spacing w:after="140"/>
      </w:pPr>
      <w:r>
        <w:rPr>
          <w:sz w:val="22"/>
          <w:szCs w:val="22"/>
        </w:rPr>
        <w:t xml:space="preserve">Every InfraTrack dataset passes a source-registry gate recording license, commercial-use rights and review dates before it can appear in the product or a deliverable. Full methodology: infratrack.pages.dev/methodology/</w:t>
      </w:r>
    </w:p>
    <w:tbl>
      <w:tblPr>
        <w:tblW w:type="dxa" w:w="9000"/>
        <w:tblBorders>
          <w:top w:val="single" w:color="cbd5e1" w:sz="4"/>
          <w:left w:val="none"/>
          <w:bottom w:val="single" w:color="cbd5e1" w:sz="4"/>
          <w:right w:val="none"/>
          <w:insideH w:val="single" w:color="e2e8f0" w:sz="2"/>
          <w:insideV w:val="none"/>
        </w:tblBorders>
      </w:tblPr>
      <w:tblGrid>
        <w:gridCol w:w="3000"/>
        <w:gridCol w:w="3400"/>
        <w:gridCol w:w="2600"/>
      </w:tblGrid>
      <w:tr>
        <w:trPr>
          <w:tblHeader/>
        </w:trPr>
        <w:tc>
          <w:tcPr>
            <w:tcW w:type="dxa" w:w="30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  <w:tc>
          <w:tcPr>
            <w:tcW w:type="dxa" w:w="34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Covers</w:t>
            </w:r>
          </w:p>
        </w:tc>
        <w:tc>
          <w:tcPr>
            <w:tcW w:type="dxa" w:w="2600"/>
            <w:shd w:fill="1e2a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License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Global Energy Monitor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Pipelines, LNG, power plants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CC BY 4.0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US NGA World Port Index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Ports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Public domain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WRI Aqueduct 4.0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Water stress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CC BY 4.0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World Bank Open Data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Grid indicators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CC BY 4.0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OpenStreetMap (Overpass)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Data centers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ODbL 1.0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InfraTrack research compilation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Corridor projects, chokepoints, opposition &amp; incident events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Own compilation; per-item source links</w:t>
            </w:r>
          </w:p>
        </w:tc>
      </w:tr>
    </w:tbl>
    <w:p>
      <w:pPr>
        <w:spacing w:after="100"/>
      </w:pPr>
      <w:r>
        <w:rPr>
          <w:color w:val="64748b"/>
          <w:sz w:val="18"/>
          <w:szCs w:val="18"/>
        </w:rPr>
        <w:t xml:space="preserve">Data: Global Energy Monitor (CC BY 4.0) · Ports: World Port Index (US NGA) · Water risk: WRI Aqueduct 4.0 (CC BY 4.0) · Grid indicators: World Bank Open Data (CC BY 4.0) · © OpenStreetMap contributors (ODbL)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Disclaimer: comparative screening analysis built on public data for research and commercial decision support. Not investment advice, engineering due diligence, or a substitute for site-specific studies. Aggregate exposure analysis only — no operational vulnerability detail. Data may not reflect real-time conditions.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InfraTrack — East-Med Corridor Brief (SAMPLE) · 2026-09-02 · page </w:t>
    </w:r>
    <w:r>
      <w:rPr>
        <w:color w:val="64748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73e724a2d155fad75df04e8c226eec801367bdbb.png"/><Relationship Id="rId9" Type="http://schemas.openxmlformats.org/officeDocument/2006/relationships/image" Target="media/ea21241ad51462d1a828e827edaab67292f1c50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2026-09-02T17:43:01.632Z</dcterms:created>
  <dcterms:modified xsi:type="dcterms:W3CDTF">2026-09-02T17:43:01.632Z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